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after="100" w:afterAutospacing="1"/>
        <w:jc w:val="left"/>
        <w:rPr>
          <w:rFonts w:ascii="微软雅黑" w:hAnsi="微软雅黑" w:eastAsia="微软雅黑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&gt;&gt;中华心 世界屏</w:t>
      </w:r>
    </w:p>
    <w:p>
      <w:pPr>
        <w:snapToGrid w:val="0"/>
        <w:spacing w:beforeLines="50" w:after="100" w:afterAutospacing="1"/>
        <w:jc w:val="left"/>
        <w:rPr>
          <w:rFonts w:ascii="微软雅黑" w:hAnsi="微软雅黑" w:eastAsia="微软雅黑"/>
          <w:b/>
          <w:sz w:val="24"/>
          <w:szCs w:val="36"/>
        </w:rPr>
      </w:pPr>
      <w:r>
        <w:rPr>
          <w:rFonts w:hint="eastAsia" w:ascii="微软雅黑" w:hAnsi="微软雅黑" w:eastAsia="微软雅黑"/>
          <w:b/>
          <w:sz w:val="24"/>
          <w:szCs w:val="36"/>
          <w:highlight w:val="lightGray"/>
        </w:rPr>
        <w:t>深圳 华星t1</w:t>
      </w:r>
    </w:p>
    <w:p>
      <w:pPr>
        <w:snapToGrid w:val="0"/>
        <w:spacing w:beforeLines="50" w:after="100" w:afterAutospacing="1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ascii="微软雅黑" w:hAnsi="微软雅黑" w:eastAsia="微软雅黑" w:cs="Times New Roman"/>
          <w:kern w:val="2"/>
          <w:sz w:val="24"/>
          <w:szCs w:val="36"/>
          <w:lang w:val="en-US" w:eastAsia="zh-CN" w:bidi="ar-SA"/>
        </w:rPr>
        <w:pict>
          <v:shape id="图片 12" o:spid="_x0000_s1027" type="#_x0000_t75" style="position:absolute;left:0;margin-left:441.75pt;margin-top:66.9pt;height:211.5pt;width:243.65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微软雅黑" w:hAnsi="微软雅黑" w:eastAsia="微软雅黑"/>
          <w:sz w:val="24"/>
          <w:szCs w:val="36"/>
        </w:rPr>
        <w:t>一期</w:t>
      </w:r>
      <w:r>
        <w:rPr>
          <w:rFonts w:ascii="微软雅黑" w:hAnsi="微软雅黑" w:eastAsia="微软雅黑"/>
          <w:sz w:val="24"/>
          <w:szCs w:val="36"/>
        </w:rPr>
        <w:t>G8.5 TFT-LCD</w:t>
      </w:r>
      <w:r>
        <w:rPr>
          <w:rFonts w:hint="eastAsia" w:ascii="微软雅黑" w:hAnsi="微软雅黑" w:eastAsia="微软雅黑"/>
          <w:sz w:val="24"/>
          <w:szCs w:val="36"/>
        </w:rPr>
        <w:t>项目，总投资规模</w:t>
      </w:r>
      <w:r>
        <w:rPr>
          <w:rFonts w:ascii="微软雅黑" w:hAnsi="微软雅黑" w:eastAsia="微软雅黑"/>
          <w:b/>
          <w:color w:val="C00000"/>
          <w:sz w:val="24"/>
          <w:szCs w:val="36"/>
        </w:rPr>
        <w:t>245</w:t>
      </w:r>
      <w:r>
        <w:rPr>
          <w:rFonts w:hint="eastAsia" w:ascii="微软雅黑" w:hAnsi="微软雅黑" w:eastAsia="微软雅黑"/>
          <w:b/>
          <w:color w:val="C00000"/>
          <w:sz w:val="24"/>
          <w:szCs w:val="36"/>
        </w:rPr>
        <w:t>亿</w:t>
      </w:r>
      <w:r>
        <w:rPr>
          <w:rFonts w:hint="eastAsia" w:ascii="微软雅黑" w:hAnsi="微软雅黑" w:eastAsia="微软雅黑"/>
          <w:sz w:val="24"/>
          <w:szCs w:val="36"/>
        </w:rPr>
        <w:t>，是深圳建市以来单笔投资额最大的工业项目，也是中国首条完全依靠自主创新建设的、最高世代的液晶面板生产线。截止目前申请中国专利三千余件；在</w:t>
      </w:r>
      <w:r>
        <w:rPr>
          <w:rFonts w:ascii="微软雅黑" w:hAnsi="微软雅黑" w:eastAsia="微软雅黑"/>
          <w:sz w:val="24"/>
          <w:szCs w:val="36"/>
        </w:rPr>
        <w:t>2014</w:t>
      </w:r>
      <w:r>
        <w:rPr>
          <w:rFonts w:hint="eastAsia" w:ascii="微软雅黑" w:hAnsi="微软雅黑" w:eastAsia="微软雅黑"/>
          <w:sz w:val="24"/>
          <w:szCs w:val="36"/>
        </w:rPr>
        <w:t>年上半年，公司</w:t>
      </w:r>
      <w:r>
        <w:rPr>
          <w:rFonts w:ascii="微软雅黑" w:hAnsi="微软雅黑" w:eastAsia="微软雅黑"/>
          <w:sz w:val="24"/>
          <w:szCs w:val="36"/>
        </w:rPr>
        <w:t>EBITDA</w:t>
      </w:r>
      <w:r>
        <w:rPr>
          <w:rFonts w:hint="eastAsia" w:ascii="微软雅黑" w:hAnsi="微软雅黑" w:eastAsia="微软雅黑"/>
          <w:sz w:val="24"/>
          <w:szCs w:val="36"/>
        </w:rPr>
        <w:t>（公司创造现金能力）业界</w:t>
      </w:r>
      <w:r>
        <w:rPr>
          <w:rFonts w:hint="eastAsia" w:ascii="微软雅黑" w:hAnsi="微软雅黑" w:eastAsia="微软雅黑"/>
          <w:b/>
          <w:color w:val="C00000"/>
          <w:sz w:val="24"/>
          <w:szCs w:val="36"/>
        </w:rPr>
        <w:t>全球第一</w:t>
      </w:r>
      <w:r>
        <w:rPr>
          <w:rFonts w:hint="eastAsia" w:ascii="微软雅黑" w:hAnsi="微软雅黑" w:eastAsia="微软雅黑"/>
          <w:sz w:val="24"/>
          <w:szCs w:val="36"/>
        </w:rPr>
        <w:t>，我们一直致力打造成为极具价值创新能力的领先全球显示技术企业。</w:t>
      </w:r>
    </w:p>
    <w:p>
      <w:pPr>
        <w:snapToGrid w:val="0"/>
        <w:spacing w:beforeLines="50" w:after="100" w:afterAutospacing="1"/>
        <w:jc w:val="left"/>
        <w:rPr>
          <w:rFonts w:ascii="微软雅黑" w:hAnsi="微软雅黑" w:eastAsia="微软雅黑"/>
          <w:b/>
          <w:sz w:val="24"/>
          <w:szCs w:val="36"/>
        </w:rPr>
      </w:pPr>
      <w:r>
        <w:rPr>
          <w:rFonts w:hint="eastAsia" w:ascii="微软雅黑" w:hAnsi="微软雅黑" w:eastAsia="微软雅黑"/>
          <w:b/>
          <w:sz w:val="24"/>
          <w:szCs w:val="36"/>
          <w:highlight w:val="lightGray"/>
        </w:rPr>
        <w:t>深圳 华星t2</w:t>
      </w:r>
    </w:p>
    <w:p>
      <w:pPr>
        <w:snapToGrid w:val="0"/>
        <w:spacing w:after="100" w:afterAutospacing="1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二期</w:t>
      </w:r>
      <w:r>
        <w:rPr>
          <w:rFonts w:ascii="微软雅黑" w:hAnsi="微软雅黑" w:eastAsia="微软雅黑"/>
          <w:sz w:val="24"/>
          <w:szCs w:val="36"/>
        </w:rPr>
        <w:t>G8.5 TFT-LCD</w:t>
      </w:r>
      <w:r>
        <w:rPr>
          <w:rFonts w:hint="eastAsia" w:ascii="微软雅黑" w:hAnsi="微软雅黑" w:eastAsia="微软雅黑"/>
          <w:sz w:val="24"/>
          <w:szCs w:val="36"/>
        </w:rPr>
        <w:t>项目，总投资</w:t>
      </w:r>
      <w:r>
        <w:rPr>
          <w:rFonts w:ascii="微软雅黑" w:hAnsi="微软雅黑" w:eastAsia="微软雅黑"/>
          <w:b/>
          <w:color w:val="C00000"/>
          <w:sz w:val="24"/>
          <w:szCs w:val="36"/>
        </w:rPr>
        <w:t>244</w:t>
      </w:r>
      <w:r>
        <w:rPr>
          <w:rFonts w:hint="eastAsia" w:ascii="微软雅黑" w:hAnsi="微软雅黑" w:eastAsia="微软雅黑"/>
          <w:b/>
          <w:color w:val="C00000"/>
          <w:sz w:val="24"/>
          <w:szCs w:val="36"/>
        </w:rPr>
        <w:t>亿</w:t>
      </w:r>
      <w:r>
        <w:rPr>
          <w:rFonts w:hint="eastAsia" w:ascii="微软雅黑" w:hAnsi="微软雅黑" w:eastAsia="微软雅黑"/>
          <w:sz w:val="24"/>
          <w:szCs w:val="36"/>
        </w:rPr>
        <w:t>元，于</w:t>
      </w:r>
      <w:r>
        <w:rPr>
          <w:rFonts w:ascii="微软雅黑" w:hAnsi="微软雅黑" w:eastAsia="微软雅黑"/>
          <w:sz w:val="24"/>
          <w:szCs w:val="36"/>
        </w:rPr>
        <w:t>2013</w:t>
      </w:r>
      <w:r>
        <w:rPr>
          <w:rFonts w:hint="eastAsia" w:ascii="微软雅黑" w:hAnsi="微软雅黑" w:eastAsia="微软雅黑"/>
          <w:sz w:val="24"/>
          <w:szCs w:val="36"/>
        </w:rPr>
        <w:t>年</w:t>
      </w:r>
      <w:r>
        <w:rPr>
          <w:rFonts w:ascii="微软雅黑" w:hAnsi="微软雅黑" w:eastAsia="微软雅黑"/>
          <w:sz w:val="24"/>
          <w:szCs w:val="36"/>
        </w:rPr>
        <w:t>11</w:t>
      </w:r>
      <w:r>
        <w:rPr>
          <w:rFonts w:hint="eastAsia" w:ascii="微软雅黑" w:hAnsi="微软雅黑" w:eastAsia="微软雅黑"/>
          <w:sz w:val="24"/>
          <w:szCs w:val="36"/>
        </w:rPr>
        <w:t>月</w:t>
      </w:r>
      <w:r>
        <w:rPr>
          <w:rFonts w:ascii="微软雅黑" w:hAnsi="微软雅黑" w:eastAsia="微软雅黑"/>
          <w:sz w:val="24"/>
          <w:szCs w:val="36"/>
        </w:rPr>
        <w:t>16</w:t>
      </w:r>
      <w:r>
        <w:rPr>
          <w:rFonts w:hint="eastAsia" w:ascii="微软雅黑" w:hAnsi="微软雅黑" w:eastAsia="微软雅黑"/>
          <w:sz w:val="24"/>
          <w:szCs w:val="36"/>
        </w:rPr>
        <w:t>日正式开工，计划于</w:t>
      </w:r>
      <w:r>
        <w:rPr>
          <w:rFonts w:ascii="微软雅黑" w:hAnsi="微软雅黑" w:eastAsia="微软雅黑"/>
          <w:sz w:val="24"/>
          <w:szCs w:val="36"/>
        </w:rPr>
        <w:t xml:space="preserve"> 2015</w:t>
      </w:r>
      <w:r>
        <w:rPr>
          <w:rFonts w:hint="eastAsia" w:ascii="微软雅黑" w:hAnsi="微软雅黑" w:eastAsia="微软雅黑"/>
          <w:sz w:val="24"/>
          <w:szCs w:val="36"/>
        </w:rPr>
        <w:t>年</w:t>
      </w:r>
      <w:r>
        <w:rPr>
          <w:rFonts w:ascii="微软雅黑" w:hAnsi="微软雅黑" w:eastAsia="微软雅黑"/>
          <w:sz w:val="24"/>
          <w:szCs w:val="36"/>
        </w:rPr>
        <w:t>5</w:t>
      </w:r>
      <w:r>
        <w:rPr>
          <w:rFonts w:hint="eastAsia" w:ascii="微软雅黑" w:hAnsi="微软雅黑" w:eastAsia="微软雅黑"/>
          <w:sz w:val="24"/>
          <w:szCs w:val="36"/>
        </w:rPr>
        <w:t>月投产，建成后将成为</w:t>
      </w:r>
      <w:r>
        <w:rPr>
          <w:rFonts w:hint="eastAsia" w:ascii="微软雅黑" w:hAnsi="微软雅黑" w:eastAsia="微软雅黑"/>
          <w:b/>
          <w:color w:val="C00000"/>
          <w:sz w:val="24"/>
          <w:szCs w:val="36"/>
        </w:rPr>
        <w:t>亚洲最大</w:t>
      </w:r>
      <w:r>
        <w:rPr>
          <w:rFonts w:hint="eastAsia" w:ascii="微软雅黑" w:hAnsi="微软雅黑" w:eastAsia="微软雅黑"/>
          <w:sz w:val="24"/>
          <w:szCs w:val="36"/>
        </w:rPr>
        <w:t>的单体厂房。二期致力于新产品及新技术的开发， 包括</w:t>
      </w:r>
      <w:r>
        <w:rPr>
          <w:rFonts w:ascii="微软雅黑" w:hAnsi="微软雅黑" w:eastAsia="微软雅黑"/>
          <w:sz w:val="24"/>
          <w:szCs w:val="36"/>
        </w:rPr>
        <w:t>GOA</w:t>
      </w:r>
      <w:r>
        <w:rPr>
          <w:rFonts w:hint="eastAsia" w:ascii="微软雅黑" w:hAnsi="微软雅黑" w:eastAsia="微软雅黑"/>
          <w:sz w:val="24"/>
          <w:szCs w:val="36"/>
        </w:rPr>
        <w:t>、</w:t>
      </w:r>
      <w:r>
        <w:rPr>
          <w:rFonts w:ascii="微软雅黑" w:hAnsi="微软雅黑" w:eastAsia="微软雅黑"/>
          <w:sz w:val="24"/>
          <w:szCs w:val="36"/>
        </w:rPr>
        <w:t>COA</w:t>
      </w:r>
      <w:r>
        <w:rPr>
          <w:rFonts w:hint="eastAsia" w:ascii="微软雅黑" w:hAnsi="微软雅黑" w:eastAsia="微软雅黑"/>
          <w:sz w:val="24"/>
          <w:szCs w:val="36"/>
        </w:rPr>
        <w:t>、</w:t>
      </w:r>
      <w:r>
        <w:rPr>
          <w:rFonts w:ascii="微软雅黑" w:hAnsi="微软雅黑" w:eastAsia="微软雅黑"/>
          <w:sz w:val="24"/>
          <w:szCs w:val="36"/>
        </w:rPr>
        <w:t>Cu</w:t>
      </w:r>
      <w:r>
        <w:rPr>
          <w:rFonts w:hint="eastAsia" w:ascii="微软雅黑" w:hAnsi="微软雅黑" w:eastAsia="微软雅黑"/>
          <w:sz w:val="24"/>
          <w:szCs w:val="36"/>
        </w:rPr>
        <w:t>制程、</w:t>
      </w:r>
      <w:r>
        <w:rPr>
          <w:rFonts w:ascii="微软雅黑" w:hAnsi="微软雅黑" w:eastAsia="微软雅黑"/>
          <w:sz w:val="24"/>
          <w:szCs w:val="36"/>
        </w:rPr>
        <w:t>IGZO</w:t>
      </w:r>
      <w:r>
        <w:rPr>
          <w:rFonts w:hint="eastAsia" w:ascii="微软雅黑" w:hAnsi="微软雅黑" w:eastAsia="微软雅黑"/>
          <w:sz w:val="24"/>
          <w:szCs w:val="36"/>
        </w:rPr>
        <w:t>、</w:t>
      </w:r>
      <w:r>
        <w:rPr>
          <w:rFonts w:ascii="微软雅黑" w:hAnsi="微软雅黑" w:eastAsia="微软雅黑"/>
          <w:sz w:val="24"/>
          <w:szCs w:val="36"/>
        </w:rPr>
        <w:t>AMOLED</w:t>
      </w:r>
      <w:r>
        <w:rPr>
          <w:rFonts w:hint="eastAsia" w:ascii="微软雅黑" w:hAnsi="微软雅黑" w:eastAsia="微软雅黑"/>
          <w:sz w:val="24"/>
          <w:szCs w:val="36"/>
        </w:rPr>
        <w:t>、</w:t>
      </w:r>
      <w:r>
        <w:rPr>
          <w:rFonts w:ascii="微软雅黑" w:hAnsi="微软雅黑" w:eastAsia="微软雅黑"/>
          <w:sz w:val="24"/>
          <w:szCs w:val="36"/>
        </w:rPr>
        <w:t>LTPS</w:t>
      </w:r>
      <w:r>
        <w:rPr>
          <w:rFonts w:hint="eastAsia" w:ascii="微软雅黑" w:hAnsi="微软雅黑" w:eastAsia="微软雅黑"/>
          <w:sz w:val="24"/>
          <w:szCs w:val="36"/>
        </w:rPr>
        <w:t>乃至曲面显示等。</w:t>
      </w:r>
    </w:p>
    <w:p>
      <w:pPr>
        <w:snapToGrid w:val="0"/>
        <w:spacing w:beforeLines="50" w:after="100" w:afterAutospacing="1"/>
        <w:jc w:val="left"/>
        <w:rPr>
          <w:rFonts w:ascii="微软雅黑" w:hAnsi="微软雅黑" w:eastAsia="微软雅黑"/>
          <w:b/>
          <w:bCs/>
          <w:sz w:val="24"/>
          <w:szCs w:val="36"/>
        </w:rPr>
      </w:pPr>
      <w:r>
        <w:rPr>
          <w:rFonts w:hint="eastAsia" w:ascii="微软雅黑" w:hAnsi="微软雅黑" w:eastAsia="微软雅黑"/>
          <w:b/>
          <w:bCs/>
          <w:sz w:val="24"/>
          <w:szCs w:val="36"/>
          <w:highlight w:val="lightGray"/>
        </w:rPr>
        <w:t>武汉 华星t3</w:t>
      </w:r>
    </w:p>
    <w:p>
      <w:pPr>
        <w:snapToGrid w:val="0"/>
        <w:spacing w:beforeLines="50" w:after="100" w:afterAutospacing="1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bCs/>
          <w:sz w:val="24"/>
          <w:szCs w:val="36"/>
        </w:rPr>
        <w:t>三期</w:t>
      </w:r>
      <w:r>
        <w:rPr>
          <w:rFonts w:ascii="微软雅黑" w:hAnsi="微软雅黑" w:eastAsia="微软雅黑"/>
          <w:bCs/>
          <w:sz w:val="24"/>
          <w:szCs w:val="36"/>
        </w:rPr>
        <w:t>G6 LTPS</w:t>
      </w:r>
      <w:r>
        <w:rPr>
          <w:rFonts w:hint="eastAsia" w:ascii="微软雅黑" w:hAnsi="微软雅黑" w:eastAsia="微软雅黑"/>
          <w:bCs/>
          <w:sz w:val="24"/>
          <w:szCs w:val="36"/>
        </w:rPr>
        <w:t>手机面板项目，总投资</w:t>
      </w:r>
      <w:r>
        <w:rPr>
          <w:rFonts w:ascii="微软雅黑" w:hAnsi="微软雅黑" w:eastAsia="微软雅黑"/>
          <w:b/>
          <w:bCs/>
          <w:color w:val="C00000"/>
          <w:sz w:val="24"/>
          <w:szCs w:val="36"/>
        </w:rPr>
        <w:t>160</w:t>
      </w:r>
      <w:r>
        <w:rPr>
          <w:rFonts w:hint="eastAsia" w:ascii="微软雅黑" w:hAnsi="微软雅黑" w:eastAsia="微软雅黑"/>
          <w:b/>
          <w:bCs/>
          <w:color w:val="C00000"/>
          <w:sz w:val="24"/>
          <w:szCs w:val="36"/>
        </w:rPr>
        <w:t>亿</w:t>
      </w:r>
      <w:r>
        <w:rPr>
          <w:rFonts w:hint="eastAsia" w:ascii="微软雅黑" w:hAnsi="微软雅黑" w:eastAsia="微软雅黑"/>
          <w:bCs/>
          <w:sz w:val="24"/>
          <w:szCs w:val="36"/>
        </w:rPr>
        <w:t>元。 建厂武汉光谷，创武汉市单体项目</w:t>
      </w:r>
      <w:r>
        <w:rPr>
          <w:rFonts w:hint="eastAsia" w:ascii="微软雅黑" w:hAnsi="微软雅黑" w:eastAsia="微软雅黑"/>
          <w:b/>
          <w:bCs/>
          <w:color w:val="C00000"/>
          <w:sz w:val="24"/>
          <w:szCs w:val="36"/>
        </w:rPr>
        <w:t>投资之最</w:t>
      </w:r>
      <w:r>
        <w:rPr>
          <w:rFonts w:hint="eastAsia" w:ascii="微软雅黑" w:hAnsi="微软雅黑" w:eastAsia="微软雅黑"/>
          <w:bCs/>
          <w:sz w:val="24"/>
          <w:szCs w:val="36"/>
        </w:rPr>
        <w:t>。</w:t>
      </w:r>
      <w:r>
        <w:rPr>
          <w:rFonts w:ascii="微软雅黑" w:hAnsi="微软雅黑" w:eastAsia="微软雅黑"/>
          <w:bCs/>
          <w:sz w:val="24"/>
          <w:szCs w:val="36"/>
        </w:rPr>
        <w:t>LTPS</w:t>
      </w:r>
      <w:r>
        <w:rPr>
          <w:rFonts w:hint="eastAsia" w:ascii="微软雅黑" w:hAnsi="微软雅黑" w:eastAsia="微软雅黑"/>
          <w:bCs/>
          <w:sz w:val="24"/>
          <w:szCs w:val="36"/>
        </w:rPr>
        <w:t>面板属高端面板，目前国内仅两条生产线，作为武汉市战略性新兴产业和传统支柱产业的领军代表，华星进一步乘胜追击后将实现</w:t>
      </w:r>
      <w:r>
        <w:rPr>
          <w:rFonts w:ascii="微软雅黑" w:hAnsi="微软雅黑" w:eastAsia="微软雅黑"/>
          <w:bCs/>
          <w:sz w:val="24"/>
          <w:szCs w:val="36"/>
        </w:rPr>
        <w:t>LTPS</w:t>
      </w:r>
      <w:r>
        <w:rPr>
          <w:rFonts w:hint="eastAsia" w:ascii="微软雅黑" w:hAnsi="微软雅黑" w:eastAsia="微软雅黑"/>
          <w:bCs/>
          <w:sz w:val="24"/>
          <w:szCs w:val="36"/>
        </w:rPr>
        <w:t>、</w:t>
      </w:r>
      <w:r>
        <w:rPr>
          <w:rFonts w:ascii="微软雅黑" w:hAnsi="微软雅黑" w:eastAsia="微软雅黑"/>
          <w:bCs/>
          <w:sz w:val="24"/>
          <w:szCs w:val="36"/>
        </w:rPr>
        <w:t>AFFS</w:t>
      </w:r>
      <w:r>
        <w:rPr>
          <w:rFonts w:hint="eastAsia" w:ascii="微软雅黑" w:hAnsi="微软雅黑" w:eastAsia="微软雅黑"/>
          <w:bCs/>
          <w:sz w:val="24"/>
          <w:szCs w:val="36"/>
        </w:rPr>
        <w:t>、</w:t>
      </w:r>
      <w:r>
        <w:rPr>
          <w:rFonts w:ascii="微软雅黑" w:hAnsi="微软雅黑" w:eastAsia="微软雅黑"/>
          <w:bCs/>
          <w:sz w:val="24"/>
          <w:szCs w:val="36"/>
        </w:rPr>
        <w:t>OLED</w:t>
      </w:r>
      <w:r>
        <w:rPr>
          <w:rFonts w:hint="eastAsia" w:ascii="微软雅黑" w:hAnsi="微软雅黑" w:eastAsia="微软雅黑"/>
          <w:bCs/>
          <w:sz w:val="24"/>
          <w:szCs w:val="36"/>
        </w:rPr>
        <w:t>、</w:t>
      </w:r>
      <w:r>
        <w:rPr>
          <w:rFonts w:ascii="微软雅黑" w:hAnsi="微软雅黑" w:eastAsia="微软雅黑"/>
          <w:bCs/>
          <w:sz w:val="24"/>
          <w:szCs w:val="36"/>
        </w:rPr>
        <w:t>Touch panel</w:t>
      </w:r>
      <w:r>
        <w:rPr>
          <w:rFonts w:hint="eastAsia" w:ascii="微软雅黑" w:hAnsi="微软雅黑" w:eastAsia="微软雅黑"/>
          <w:bCs/>
          <w:sz w:val="24"/>
          <w:szCs w:val="36"/>
        </w:rPr>
        <w:t>等新技术的应用。</w:t>
      </w:r>
    </w:p>
    <w:p>
      <w:pPr>
        <w:rPr>
          <w:rFonts w:ascii="微软雅黑" w:hAnsi="微软雅黑" w:eastAsia="微软雅黑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&gt;&gt;华星光电 招聘行程</w:t>
      </w:r>
    </w:p>
    <w:tbl>
      <w:tblPr>
        <w:tblW w:w="13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3118"/>
        <w:gridCol w:w="4678"/>
        <w:gridCol w:w="3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 xml:space="preserve">城市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研讨会院校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华星研讨会时间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华星研讨会地点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0" w:hRule="atLeast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北京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北京航空航天大学 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2014/10/11（周六）19:00-21:00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三号楼218教室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北京理工大学 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2014/10/10（周五）19:00-21:00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唯实报告厅</w:t>
            </w:r>
          </w:p>
        </w:tc>
      </w:tr>
    </w:tbl>
    <w:p>
      <w:bookmarkStart w:id="0" w:name="_GoBack"/>
      <w:bookmarkEnd w:id="0"/>
    </w:p>
    <w:p/>
    <w:p/>
    <w:p>
      <w:pPr>
        <w:rPr>
          <w:rFonts w:ascii="微软雅黑" w:hAnsi="微软雅黑" w:eastAsia="微软雅黑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&gt;&gt;招聘需求：</w:t>
      </w:r>
    </w:p>
    <w:p/>
    <w:tbl>
      <w:tblPr>
        <w:tblW w:w="13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984"/>
        <w:gridCol w:w="666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84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分类</w:t>
            </w:r>
          </w:p>
        </w:tc>
        <w:tc>
          <w:tcPr>
            <w:tcW w:w="1843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岗位名称</w:t>
            </w:r>
          </w:p>
        </w:tc>
        <w:tc>
          <w:tcPr>
            <w:tcW w:w="1984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学历</w:t>
            </w:r>
          </w:p>
        </w:tc>
        <w:tc>
          <w:tcPr>
            <w:tcW w:w="6663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专业</w:t>
            </w:r>
          </w:p>
        </w:tc>
        <w:tc>
          <w:tcPr>
            <w:tcW w:w="992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深圳</w:t>
            </w:r>
          </w:p>
        </w:tc>
        <w:tc>
          <w:tcPr>
            <w:tcW w:w="992" w:type="dxa"/>
            <w:shd w:val="clear" w:color="auto" w:fill="1F497D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>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制造研发类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工程设备岗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材料类、电气类、电子信息类、工业工程类、化学类、机械类、物理学类、自动化类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90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现场管理岗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材料类、电气类、工业工程类、机械类、自动化类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工业工程岗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工业工程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研发岗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硕士或博士优先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微电子类、材料物理类、光电子类、显示器件类、半导体类、光电材料类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技术支持类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环境安全岗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安全科学与工程类、电气类、环境科学与工程类、能源动力类、土木类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品质岗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材料类、电子信息类、机械类、统计学类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平台职能类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人力资源岗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博士优先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人力资源管理、心理学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企划岗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工商管理类、设计学类、新闻传播学类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财务岗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财务管理、会计学、经济学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供应链岗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工商管理、工业工程、管理科学与工程类、经济与贸易类、物流管理与工程类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行政岗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音乐与舞蹈学类、设计学类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销售岗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电子信息类、工商管理类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法务岗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硕士或以上</w:t>
            </w:r>
          </w:p>
        </w:tc>
        <w:tc>
          <w:tcPr>
            <w:tcW w:w="6663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民商法学、国际经济法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pStyle w:val="2"/>
        <w:rPr>
          <w:rFonts w:ascii="华文行楷" w:hAnsi="宋体" w:eastAsia="华文行楷"/>
          <w:sz w:val="52"/>
        </w:rPr>
      </w:pPr>
      <w:r>
        <w:rPr>
          <w:rFonts w:ascii="微软雅黑" w:hAnsi="微软雅黑" w:eastAsia="微软雅黑" w:cs="Courier New"/>
          <w:color w:val="000000"/>
          <w:kern w:val="2"/>
          <w:sz w:val="28"/>
          <w:szCs w:val="21"/>
          <w:lang w:val="en-US" w:eastAsia="zh-CN" w:bidi="ar-SA"/>
        </w:rPr>
        <w:pict>
          <v:shape id="图片 5" o:spid="_x0000_s1028" type="#_x0000_t75" style="position:absolute;left:0;margin-left:-72pt;margin-top:-5.45pt;height:302.9pt;width:843.8pt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华文行楷" w:hAnsi="宋体" w:eastAsia="华文行楷"/>
          <w:sz w:val="52"/>
        </w:rPr>
        <w:t>业内</w:t>
      </w:r>
      <w:r>
        <w:rPr>
          <w:rFonts w:hint="eastAsia" w:ascii="华文行楷" w:hAnsi="宋体" w:eastAsia="华文行楷"/>
          <w:color w:val="C00000"/>
          <w:sz w:val="52"/>
        </w:rPr>
        <w:t>极具竞争力</w:t>
      </w:r>
      <w:r>
        <w:rPr>
          <w:rFonts w:hint="eastAsia" w:ascii="华文行楷" w:hAnsi="宋体" w:eastAsia="华文行楷"/>
          <w:sz w:val="52"/>
        </w:rPr>
        <w:t>的薪酬福利和</w:t>
      </w:r>
      <w:r>
        <w:rPr>
          <w:rFonts w:hint="eastAsia" w:ascii="华文行楷" w:hAnsi="宋体" w:eastAsia="华文行楷"/>
          <w:color w:val="C00000"/>
          <w:sz w:val="52"/>
        </w:rPr>
        <w:t>私人定制</w:t>
      </w:r>
      <w:r>
        <w:rPr>
          <w:rFonts w:hint="eastAsia" w:ascii="华文行楷" w:hAnsi="宋体" w:eastAsia="华文行楷"/>
          <w:sz w:val="52"/>
        </w:rPr>
        <w:t>的成长路径，参加华星校园研讨会，我们想告诉你更多……</w:t>
      </w:r>
    </w:p>
    <w:p>
      <w:pPr>
        <w:pStyle w:val="2"/>
        <w:ind w:firstLine="420"/>
        <w:jc w:val="center"/>
        <w:rPr>
          <w:rFonts w:ascii="微软雅黑" w:hAnsi="微软雅黑" w:eastAsia="微软雅黑"/>
          <w:b/>
          <w:sz w:val="52"/>
          <w:szCs w:val="44"/>
        </w:rPr>
      </w:pPr>
      <w:r>
        <w:rPr>
          <w:rFonts w:hint="eastAsia" w:ascii="微软雅黑" w:hAnsi="微软雅黑" w:eastAsia="微软雅黑"/>
          <w:b/>
          <w:sz w:val="52"/>
          <w:szCs w:val="44"/>
        </w:rPr>
        <w:t>网申地址：</w:t>
      </w:r>
      <w:r>
        <w:rPr>
          <w:rFonts w:hint="eastAsia" w:ascii="微软雅黑" w:hAnsi="微软雅黑" w:eastAsia="微软雅黑"/>
          <w:b/>
          <w:color w:val="C00000"/>
          <w:sz w:val="52"/>
          <w:szCs w:val="44"/>
          <w:u w:val="single"/>
        </w:rPr>
        <w:t>huaxing.zhaopin.com</w:t>
      </w:r>
    </w:p>
    <w:p>
      <w:pPr>
        <w:spacing w:beforeLines="100" w:line="500" w:lineRule="exact"/>
        <w:jc w:val="center"/>
        <w:rPr>
          <w:rFonts w:hint="eastAsia" w:ascii="华文行楷" w:hAnsi="微软雅黑" w:eastAsia="华文行楷"/>
          <w:sz w:val="52"/>
          <w:szCs w:val="44"/>
        </w:rPr>
      </w:pPr>
    </w:p>
    <w:p>
      <w:pPr>
        <w:spacing w:beforeLines="100" w:line="500" w:lineRule="exact"/>
        <w:jc w:val="center"/>
        <w:rPr>
          <w:rFonts w:ascii="华文行楷" w:hAnsi="微软雅黑" w:eastAsia="华文行楷"/>
          <w:sz w:val="52"/>
          <w:szCs w:val="44"/>
        </w:rPr>
      </w:pPr>
      <w:r>
        <w:rPr>
          <w:rFonts w:hint="eastAsia" w:ascii="华文行楷" w:hAnsi="微软雅黑" w:eastAsia="华文行楷"/>
          <w:sz w:val="52"/>
          <w:szCs w:val="44"/>
        </w:rPr>
        <w:t>更多招聘动态请关注华星官方微信与微博</w:t>
      </w:r>
    </w:p>
    <w:p>
      <w:pPr>
        <w:spacing w:beforeLines="100" w:line="500" w:lineRule="exact"/>
        <w:jc w:val="center"/>
        <w:rPr>
          <w:rFonts w:ascii="微软雅黑" w:hAnsi="微软雅黑" w:eastAsia="微软雅黑"/>
          <w:b/>
          <w:color w:val="7030A0"/>
          <w:sz w:val="24"/>
          <w:szCs w:val="30"/>
        </w:rPr>
      </w:pPr>
      <w:r>
        <w:rPr>
          <w:rFonts w:ascii="微软雅黑" w:hAnsi="微软雅黑" w:eastAsia="微软雅黑" w:cs="Times New Roman"/>
          <w:b/>
          <w:color w:val="7030A0"/>
          <w:kern w:val="2"/>
          <w:sz w:val="24"/>
          <w:szCs w:val="30"/>
          <w:lang w:val="en-US" w:eastAsia="zh-CN" w:bidi="ar-SA"/>
        </w:rPr>
        <w:pict>
          <v:shape id="图片 10" o:spid="_x0000_s1029" type="#_x0000_t75" style="position:absolute;left:0;margin-left:153pt;margin-top:27.7pt;height:153.75pt;width:153.75pt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Fonts w:ascii="微软雅黑" w:hAnsi="微软雅黑" w:eastAsia="微软雅黑"/>
          <w:b/>
          <w:color w:val="7030A0"/>
          <w:sz w:val="24"/>
          <w:szCs w:val="30"/>
        </w:rPr>
        <w:t xml:space="preserve"> </w:t>
      </w:r>
      <w:r>
        <w:rPr>
          <w:rFonts w:ascii="微软雅黑" w:hAnsi="微软雅黑" w:eastAsia="微软雅黑" w:cs="Times New Roman"/>
          <w:kern w:val="2"/>
          <w:sz w:val="21"/>
          <w:szCs w:val="22"/>
          <w:lang w:val="en-US" w:eastAsia="zh-CN" w:bidi="ar-SA"/>
        </w:rPr>
        <w:pict>
          <v:shape id="图片 9" o:spid="_x0000_s1030" type="#_x0000_t75" style="position:absolute;left:0;margin-left:397.5pt;margin-top:28.75pt;height:145.5pt;width:145.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pStyle w:val="2"/>
        <w:ind w:firstLine="420"/>
        <w:rPr>
          <w:rFonts w:ascii="微软雅黑" w:hAnsi="微软雅黑" w:eastAsia="微软雅黑" w:cs="Times New Roman"/>
          <w:szCs w:val="22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color w:val="7030A0"/>
          <w:sz w:val="24"/>
          <w:szCs w:val="30"/>
        </w:rPr>
      </w:pPr>
    </w:p>
    <w:p>
      <w:pPr>
        <w:rPr>
          <w:rFonts w:ascii="微软雅黑" w:hAnsi="微软雅黑" w:eastAsia="微软雅黑"/>
          <w:b/>
          <w:color w:val="7030A0"/>
          <w:sz w:val="24"/>
          <w:szCs w:val="30"/>
        </w:rPr>
      </w:pPr>
    </w:p>
    <w:p>
      <w:pPr>
        <w:rPr>
          <w:rFonts w:ascii="微软雅黑" w:hAnsi="微软雅黑" w:eastAsia="微软雅黑"/>
          <w:b/>
          <w:color w:val="C00000"/>
          <w:sz w:val="24"/>
          <w:szCs w:val="30"/>
        </w:rPr>
      </w:pPr>
    </w:p>
    <w:p>
      <w:pPr>
        <w:ind w:firstLine="3220" w:firstLineChars="1150"/>
        <w:rPr>
          <w:rFonts w:ascii="微软雅黑" w:hAnsi="微软雅黑" w:eastAsia="微软雅黑"/>
          <w:b/>
          <w:color w:val="1F497D"/>
          <w:sz w:val="28"/>
          <w:szCs w:val="30"/>
        </w:rPr>
      </w:pPr>
      <w:r>
        <w:rPr>
          <w:rFonts w:hint="eastAsia" w:ascii="微软雅黑" w:hAnsi="微软雅黑" w:eastAsia="微软雅黑"/>
          <w:b/>
          <w:color w:val="1F497D"/>
          <w:sz w:val="28"/>
          <w:szCs w:val="30"/>
        </w:rPr>
        <w:t>官方微信 @华星招聘                新浪微博 @华星招聘</w:t>
      </w:r>
    </w:p>
    <w:sectPr>
      <w:headerReference r:id="rId4" w:type="default"/>
      <w:pgSz w:w="16838" w:h="11906" w:orient="landscape"/>
      <w:pgMar w:top="1800" w:right="1440" w:bottom="184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ascii="微软雅黑" w:hAnsi="微软雅黑" w:eastAsia="微软雅黑"/>
        <w:b/>
        <w:sz w:val="44"/>
        <w:szCs w:val="21"/>
      </w:rPr>
    </w:pPr>
    <w:r>
      <w:rPr>
        <w:rFonts w:ascii="微软雅黑" w:hAnsi="微软雅黑" w:eastAsia="微软雅黑" w:cs="Times New Roman"/>
        <w:kern w:val="2"/>
        <w:sz w:val="22"/>
        <w:szCs w:val="18"/>
        <w:lang w:val="en-US" w:eastAsia="zh-CN" w:bidi="ar-SA"/>
      </w:rPr>
      <w:pict>
        <v:shape id="图片 1" o:spid="_x0000_s1025" type="#_x0000_t75" style="position:absolute;left:0;margin-left:0.15pt;margin-top:-1.25pt;height:34.5pt;width:106.5pt;mso-wrap-distance-bottom:0pt;mso-wrap-distance-left:9pt;mso-wrap-distance-right:9pt;mso-wrap-distance-top:0pt;rotation:0f;z-index: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square"/>
        </v:shape>
      </w:pict>
    </w:r>
    <w:r>
      <w:rPr>
        <w:rFonts w:hint="eastAsia" w:ascii="微软雅黑" w:hAnsi="微软雅黑" w:eastAsia="微软雅黑"/>
        <w:b/>
        <w:sz w:val="44"/>
        <w:szCs w:val="21"/>
      </w:rPr>
      <w:t>华星光电2015校园招聘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Plain Text"/>
    <w:basedOn w:val="1"/>
    <w:link w:val="14"/>
    <w:unhideWhenUsed/>
    <w:uiPriority w:val="99"/>
    <w:pPr>
      <w:jc w:val="left"/>
    </w:pPr>
    <w:rPr>
      <w:rFonts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</w:rPr>
  </w:style>
  <w:style w:type="paragraph" w:customStyle="1" w:styleId="8">
    <w:name w:val="No Spacing"/>
    <w:link w:val="13"/>
    <w:qFormat/>
    <w:uiPriority w:val="1"/>
    <w:rPr>
      <w:rFonts w:ascii="Calibri" w:hAnsi="Calibri" w:eastAsia="宋体"/>
      <w:kern w:val="0"/>
      <w:sz w:val="22"/>
      <w:szCs w:val="22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无间隔 Char"/>
    <w:basedOn w:val="6"/>
    <w:link w:val="8"/>
    <w:uiPriority w:val="1"/>
    <w:rPr>
      <w:kern w:val="0"/>
      <w:sz w:val="22"/>
    </w:rPr>
  </w:style>
  <w:style w:type="character" w:customStyle="1" w:styleId="14">
    <w:name w:val="纯文本 Char"/>
    <w:basedOn w:val="6"/>
    <w:link w:val="2"/>
    <w:uiPriority w:val="99"/>
    <w:rPr>
      <w:rFonts w:ascii="Calibri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935FC0AE</Template>
  <Company>csot</Company>
  <Pages>6</Pages>
  <Words>288</Words>
  <Characters>1645</Characters>
  <Lines>13</Lines>
  <Paragraphs>3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2014-09-01T05:49:00Z</dcterms:created>
  <dc:creator>王嘉玮</dc:creator>
  <cp:lastModifiedBy>xiao</cp:lastModifiedBy>
  <cp:lastPrinted>2014-09-01T06:08:00Z</cp:lastPrinted>
  <dcterms:modified xsi:type="dcterms:W3CDTF">2014-10-08T14:27:59Z</dcterms:modified>
  <dc:title>&gt;&gt;中华心 世界屏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